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B5" w:rsidRPr="008C11C8" w:rsidRDefault="00762EB5" w:rsidP="00762E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PEDIDO DE INFORMAÇÃO Nº 14,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DEZEMBRO DE 2025</w:t>
      </w:r>
      <w:bookmarkEnd w:id="0"/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762EB5" w:rsidRDefault="00762EB5" w:rsidP="0076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B5" w:rsidRPr="008C11C8" w:rsidRDefault="00762EB5" w:rsidP="00762E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B5" w:rsidRPr="008C11C8" w:rsidRDefault="00762EB5" w:rsidP="00762E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762EB5" w:rsidRPr="008C11C8" w:rsidRDefault="00762EB5" w:rsidP="00762E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762EB5" w:rsidRPr="008C11C8" w:rsidRDefault="00762EB5" w:rsidP="00762E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762EB5" w:rsidRDefault="00762EB5" w:rsidP="00762E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2EB5" w:rsidRDefault="00762EB5" w:rsidP="00762EB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2EB5" w:rsidRDefault="00762EB5" w:rsidP="00762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KOEPPE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70, inciso XIII da Lei Orgânica Municipal;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62EB5" w:rsidRDefault="00762EB5" w:rsidP="00762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EB5" w:rsidRDefault="00762EB5" w:rsidP="00762E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EB5" w:rsidRPr="00D56AA4" w:rsidRDefault="00762EB5" w:rsidP="00762EB5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DE4F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CAMINHODROMO ARNHOLD E MÍSSIO:</w:t>
      </w:r>
    </w:p>
    <w:p w:rsidR="00762EB5" w:rsidRDefault="00762EB5" w:rsidP="00762EB5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>Qual o motivo da paralização das obras?</w:t>
      </w:r>
    </w:p>
    <w:p w:rsidR="00762EB5" w:rsidRDefault="00762EB5" w:rsidP="00762EB5">
      <w:pPr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1.2. Qual o prazo previsto para a conclusão das obras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762EB5" w:rsidRDefault="00762EB5" w:rsidP="00762EB5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B5" w:rsidRDefault="00762EB5" w:rsidP="00762EB5">
      <w:pPr>
        <w:pStyle w:val="PargrafodaLista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762EB5" w:rsidRDefault="00762EB5" w:rsidP="00762E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B5" w:rsidRPr="00800E41" w:rsidRDefault="00762EB5" w:rsidP="00762E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EB5" w:rsidRDefault="00762EB5" w:rsidP="00762EB5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11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 de 2025.</w:t>
      </w:r>
    </w:p>
    <w:p w:rsidR="00762EB5" w:rsidRDefault="00762EB5" w:rsidP="00762EB5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EB5" w:rsidRDefault="00762EB5" w:rsidP="00762EB5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EB5" w:rsidRPr="008C11C8" w:rsidRDefault="00762EB5" w:rsidP="00762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2EB5" w:rsidRDefault="00762EB5" w:rsidP="00762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LUIZ EDUARDO KOEPPE</w:t>
      </w:r>
      <w:r w:rsidRPr="008C1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EB5" w:rsidRPr="004B4768" w:rsidRDefault="00762EB5" w:rsidP="00762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D9" w:rsidRDefault="00E670D9"/>
    <w:sectPr w:rsidR="00E670D9" w:rsidSect="0064214C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62EB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9045825" wp14:editId="06B6478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CD6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Cardoso, nº 389 - </w:t>
    </w:r>
    <w:r w:rsidRPr="0020553E">
      <w:rPr>
        <w:rFonts w:ascii="Times New Roman" w:hAnsi="Times New Roman" w:cs="Times New Roman"/>
        <w:i/>
      </w:rPr>
      <w:t>Centro - CEP 99.435-000</w:t>
    </w:r>
  </w:p>
  <w:p w:rsidR="00844C38" w:rsidRPr="0020553E" w:rsidRDefault="00762EB5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62EB5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62EB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E94DB" wp14:editId="0241870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62EB5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62EB5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62EB5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E94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62EB5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62EB5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62EB5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6E4E524" wp14:editId="36375D4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60B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501B341" wp14:editId="2D4664E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99FD24" wp14:editId="2E90EDE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B5"/>
    <w:rsid w:val="00762EB5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B7DF-27A7-4ED7-8111-ADF25CB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EB5"/>
  </w:style>
  <w:style w:type="paragraph" w:styleId="Rodap">
    <w:name w:val="footer"/>
    <w:basedOn w:val="Normal"/>
    <w:link w:val="RodapChar"/>
    <w:uiPriority w:val="99"/>
    <w:unhideWhenUsed/>
    <w:rsid w:val="00762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EB5"/>
  </w:style>
  <w:style w:type="paragraph" w:styleId="PargrafodaLista">
    <w:name w:val="List Paragraph"/>
    <w:basedOn w:val="Normal"/>
    <w:uiPriority w:val="34"/>
    <w:qFormat/>
    <w:rsid w:val="0076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2025-12-11T23:20:00Z</dcterms:created>
  <dcterms:modified xsi:type="dcterms:W3CDTF">2025-12-11T23:21:00Z</dcterms:modified>
</cp:coreProperties>
</file>