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4425E3D4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0E1358">
        <w:rPr>
          <w:rFonts w:eastAsiaTheme="minorHAnsi"/>
          <w:u w:val="single"/>
        </w:rPr>
        <w:t>16</w:t>
      </w:r>
      <w:r w:rsidR="00E6488D" w:rsidRPr="00E6488D">
        <w:rPr>
          <w:rFonts w:eastAsiaTheme="minorHAnsi"/>
          <w:u w:val="single"/>
        </w:rPr>
        <w:t xml:space="preserve"> DE </w:t>
      </w:r>
      <w:r w:rsidR="000E1358">
        <w:rPr>
          <w:rFonts w:eastAsiaTheme="minorHAnsi"/>
          <w:u w:val="single"/>
        </w:rPr>
        <w:t>ABRIL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0E135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0E135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E1358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2026-05-29T14:11:00Z</dcterms:modified>
</cp:coreProperties>
</file>